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39BA6044" w:rsidR="00304C50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A4BB944" w14:textId="3DB82C00" w:rsidR="00A23CE9" w:rsidRDefault="004D40A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Nádoby na nebezpečný odpad</w:t>
      </w:r>
    </w:p>
    <w:p w14:paraId="50F5F744" w14:textId="77777777" w:rsidR="00563AB1" w:rsidRPr="00304C50" w:rsidRDefault="00563AB1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15523B13" w14:textId="45D838C8" w:rsidR="00A23CE9" w:rsidRPr="00304C50" w:rsidRDefault="00563AB1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T</w:t>
      </w:r>
      <w:r w:rsidR="00A23CE9" w:rsidRPr="00304C50">
        <w:rPr>
          <w:rFonts w:ascii="Calibri" w:hAnsi="Calibri"/>
          <w:b/>
          <w:bCs/>
          <w:color w:val="auto"/>
          <w:sz w:val="28"/>
          <w:szCs w:val="28"/>
        </w:rPr>
        <w:t xml:space="preserve">echnické </w:t>
      </w:r>
      <w:r>
        <w:rPr>
          <w:rFonts w:ascii="Calibri" w:hAnsi="Calibri"/>
          <w:b/>
          <w:bCs/>
          <w:color w:val="auto"/>
          <w:sz w:val="28"/>
          <w:szCs w:val="28"/>
        </w:rPr>
        <w:t>parametry společné pro všechny položky veřejné zakázky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AFCBB91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Kontejner na ostré předměty (použité jehly) 0,7l-0,75l </w:t>
            </w:r>
          </w:p>
          <w:p w14:paraId="0CB47189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Kontejner na ostré předměty (použité jehly) </w:t>
            </w:r>
            <w:proofErr w:type="gramStart"/>
            <w:r w:rsidRPr="00563AB1">
              <w:rPr>
                <w:b/>
              </w:rPr>
              <w:t>1l</w:t>
            </w:r>
            <w:proofErr w:type="gramEnd"/>
          </w:p>
          <w:p w14:paraId="01744FAB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Kontejner na ostré předměty (použité jehly) </w:t>
            </w:r>
            <w:proofErr w:type="gramStart"/>
            <w:r w:rsidRPr="00563AB1">
              <w:rPr>
                <w:b/>
              </w:rPr>
              <w:t>2l</w:t>
            </w:r>
            <w:proofErr w:type="gramEnd"/>
          </w:p>
          <w:p w14:paraId="6620FDC1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Kontejner na ostré předměty (použité jehly) </w:t>
            </w:r>
            <w:proofErr w:type="gramStart"/>
            <w:r w:rsidRPr="00563AB1">
              <w:rPr>
                <w:b/>
              </w:rPr>
              <w:t>4l</w:t>
            </w:r>
            <w:proofErr w:type="gramEnd"/>
          </w:p>
          <w:p w14:paraId="1AB3BC85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Kontejner na ostré předměty (použité jehly) </w:t>
            </w:r>
            <w:proofErr w:type="gramStart"/>
            <w:r w:rsidRPr="00563AB1">
              <w:rPr>
                <w:b/>
              </w:rPr>
              <w:t>5l</w:t>
            </w:r>
            <w:proofErr w:type="gramEnd"/>
          </w:p>
          <w:p w14:paraId="7C53EC5D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Nádoba na kontaminovaný odpad s víkem, </w:t>
            </w:r>
            <w:proofErr w:type="gramStart"/>
            <w:r w:rsidRPr="00563AB1">
              <w:rPr>
                <w:b/>
              </w:rPr>
              <w:t>10l</w:t>
            </w:r>
            <w:proofErr w:type="gramEnd"/>
          </w:p>
          <w:p w14:paraId="3A9FB8E0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Nádoba na kontaminovaný odpad s víkem, </w:t>
            </w:r>
            <w:proofErr w:type="gramStart"/>
            <w:r w:rsidRPr="00563AB1">
              <w:rPr>
                <w:b/>
              </w:rPr>
              <w:t>30l</w:t>
            </w:r>
            <w:proofErr w:type="gramEnd"/>
          </w:p>
          <w:p w14:paraId="1C84446A" w14:textId="77777777" w:rsidR="00563AB1" w:rsidRPr="00563AB1" w:rsidRDefault="00563AB1" w:rsidP="00563AB1">
            <w:pPr>
              <w:spacing w:after="0" w:line="240" w:lineRule="auto"/>
              <w:rPr>
                <w:b/>
              </w:rPr>
            </w:pPr>
            <w:r w:rsidRPr="00563AB1">
              <w:rPr>
                <w:b/>
              </w:rPr>
              <w:t xml:space="preserve">Nádoba na kontaminovaný odpad s víkem, </w:t>
            </w:r>
            <w:proofErr w:type="gramStart"/>
            <w:r w:rsidRPr="00563AB1">
              <w:rPr>
                <w:b/>
              </w:rPr>
              <w:t>50l</w:t>
            </w:r>
            <w:proofErr w:type="gramEnd"/>
          </w:p>
          <w:p w14:paraId="6A944FAB" w14:textId="19416496" w:rsidR="007C501B" w:rsidRPr="00A960A9" w:rsidRDefault="00563AB1" w:rsidP="00563AB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63AB1">
              <w:rPr>
                <w:b/>
              </w:rPr>
              <w:t xml:space="preserve">Nádoba na kontaminovaný odpad s víkem, </w:t>
            </w:r>
            <w:proofErr w:type="gramStart"/>
            <w:r w:rsidRPr="00563AB1">
              <w:rPr>
                <w:b/>
              </w:rPr>
              <w:t>60l</w:t>
            </w:r>
            <w:proofErr w:type="gramEnd"/>
          </w:p>
        </w:tc>
      </w:tr>
      <w:tr w:rsidR="007C501B" w:rsidRPr="000D37C2" w14:paraId="6FCD3C71" w14:textId="77777777" w:rsidTr="00563AB1">
        <w:trPr>
          <w:trHeight w:val="140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563AB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11F544" w14:textId="5FCB4CDC" w:rsidR="007C501B" w:rsidRPr="007C501B" w:rsidRDefault="004D40A7" w:rsidP="007C501B">
            <w:pPr>
              <w:spacing w:after="0" w:line="240" w:lineRule="auto"/>
              <w:rPr>
                <w:color w:val="000000"/>
              </w:rPr>
            </w:pPr>
            <w:r w:rsidRPr="004D40A7">
              <w:rPr>
                <w:color w:val="000000"/>
              </w:rPr>
              <w:t>u nádob 0,7 až 0,</w:t>
            </w:r>
            <w:r w:rsidR="00ED0653">
              <w:rPr>
                <w:color w:val="000000"/>
              </w:rPr>
              <w:t>75</w:t>
            </w:r>
            <w:r w:rsidRPr="004D40A7">
              <w:rPr>
                <w:color w:val="000000"/>
              </w:rPr>
              <w:t>l musí být průměr dna max. 7,5</w:t>
            </w:r>
            <w:r w:rsidR="00757C99">
              <w:rPr>
                <w:color w:val="000000"/>
              </w:rPr>
              <w:t xml:space="preserve"> </w:t>
            </w:r>
            <w:r w:rsidRPr="004D40A7">
              <w:rPr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05CE" w14:textId="1C9812BD" w:rsidR="00A960A9" w:rsidRPr="007C501B" w:rsidRDefault="00A93A00" w:rsidP="00A960A9">
            <w:pPr>
              <w:spacing w:after="0" w:line="240" w:lineRule="auto"/>
              <w:rPr>
                <w:color w:val="000000"/>
              </w:rPr>
            </w:pPr>
            <w:r w:rsidRPr="00A93A00">
              <w:rPr>
                <w:color w:val="000000"/>
              </w:rPr>
              <w:t xml:space="preserve">nádoby musí být jednorázové, </w:t>
            </w:r>
            <w:proofErr w:type="gramStart"/>
            <w:r w:rsidRPr="00A93A00">
              <w:rPr>
                <w:color w:val="000000"/>
              </w:rPr>
              <w:t>certifikované - určené</w:t>
            </w:r>
            <w:proofErr w:type="gramEnd"/>
            <w:r w:rsidRPr="00A93A00">
              <w:rPr>
                <w:color w:val="000000"/>
              </w:rPr>
              <w:t xml:space="preserve"> pro ukládání odpadů ze zdravotnictví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24E45AA6" w:rsidR="00A960A9" w:rsidRPr="007C501B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použitý materiál musí být pevný, nepropustný, mechanicky odolný, </w:t>
            </w:r>
            <w:proofErr w:type="spellStart"/>
            <w:r w:rsidRPr="00A93A00">
              <w:rPr>
                <w:rFonts w:cs="Arial"/>
              </w:rPr>
              <w:t>nepropíchnutelný</w:t>
            </w:r>
            <w:proofErr w:type="spellEnd"/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za podmínek stanovených ČSN EN ISO 23907 (85 4002) Ochrana před poraněním ostrými předměty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43E3D1BC" w:rsidR="00A960A9" w:rsidRPr="007C501B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u všech typů nádob o objemu 0,7 až </w:t>
            </w:r>
            <w:proofErr w:type="gramStart"/>
            <w:r w:rsidRPr="00A93A00">
              <w:rPr>
                <w:rFonts w:cs="Arial"/>
              </w:rPr>
              <w:t>60l</w:t>
            </w:r>
            <w:proofErr w:type="gramEnd"/>
            <w:r w:rsidRPr="00A93A00">
              <w:rPr>
                <w:rFonts w:cs="Arial"/>
              </w:rPr>
              <w:t xml:space="preserve"> požadujeme bezpečnostní hermetický uzávěr,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kterým se uzavře nádoba a již nelze znovu otevřít. Uzávěr je neprodyšný, zcela izoluje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obsah nádoby a zabraňuje jeho proniknutí do okolního prostoru.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7E87D1B1" w:rsidR="00A960A9" w:rsidRPr="007C501B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na ostré předměty o objemu 0,7 až 10l musí navíc obsahovat bezpečnostní hermetický uzávěr s otvorem, který umožňuje vhazovat stříkačky a jehly a musí být vybavený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 xml:space="preserve">záklopkou bránící vypadnutí infikovaných předmětů. V otvoru musí být zářez pro snadné sejmutí jehly a další zářez pro sejmutí inzulínové jehly.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72346" w14:textId="2225C944" w:rsidR="00A960A9" w:rsidRPr="007C501B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být stohovatelné, umožňující snadné použití, manipulaci a skladování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582F" w14:textId="3B847D8B" w:rsidR="00A960A9" w:rsidRPr="007C501B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být spalitelné včetně obsahu ve specializovaných spalovnách nebezpečného odpadu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25007" w14:textId="726F5EDB" w:rsidR="00A960A9" w:rsidRPr="00A960A9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při spalování se nesmí do ovzduší uvolňovat žádné životu a zdraví nebezpečné látky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64D11C47" w:rsidR="00A960A9" w:rsidRPr="00A960A9" w:rsidRDefault="00A93A00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A93A00">
              <w:rPr>
                <w:rFonts w:cs="Calibri"/>
                <w:color w:val="000000"/>
              </w:rPr>
              <w:lastRenderedPageBreak/>
              <w:t>musí odpovídat požadavkům metodického doporučení k nakládání s odpady ze zdravotnictví vydaného Ministerstvem životního prostředí Praha v r.</w:t>
            </w:r>
            <w:r w:rsidR="00757C99">
              <w:rPr>
                <w:rFonts w:cs="Calibri"/>
                <w:color w:val="000000"/>
              </w:rPr>
              <w:t xml:space="preserve"> </w:t>
            </w:r>
            <w:r w:rsidRPr="00A93A00">
              <w:rPr>
                <w:rFonts w:cs="Calibri"/>
                <w:color w:val="00000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58195716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7D115196" w:rsidR="00A960A9" w:rsidRPr="000D37C2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materiál, z nichž jsou kontejnery vyrobeny, nesmí obsahovat sloučeniny fluoru a </w:t>
            </w:r>
            <w:proofErr w:type="gramStart"/>
            <w:r w:rsidRPr="00A93A00">
              <w:rPr>
                <w:rFonts w:cs="Arial"/>
              </w:rPr>
              <w:t>chloru - nutno</w:t>
            </w:r>
            <w:proofErr w:type="gramEnd"/>
            <w:r w:rsidRPr="00A93A00">
              <w:rPr>
                <w:rFonts w:cs="Arial"/>
              </w:rPr>
              <w:t xml:space="preserve"> doložit prohlášením výrobce kvůli hygienické nezávadnosti při spalování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4DC0D1E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6AA37C43" w:rsidR="00A960A9" w:rsidRPr="000D37C2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pro bezpečné nakládání se specifickým odpadem je požadováno barevné rozlišení kontejnerů do objemu </w:t>
            </w:r>
            <w:proofErr w:type="gramStart"/>
            <w:r w:rsidRPr="00A93A00">
              <w:rPr>
                <w:rFonts w:cs="Arial"/>
              </w:rPr>
              <w:t>10l</w:t>
            </w:r>
            <w:proofErr w:type="gramEnd"/>
            <w:r w:rsidRPr="00A93A00">
              <w:rPr>
                <w:rFonts w:cs="Arial"/>
              </w:rPr>
              <w:t xml:space="preserve"> včetně -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dle doporučení Státního zdravotního ústavu Praha, kdy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žlutá barva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(nádoba) je přiřazena pro infekční odpad a červená (víko)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pro odpad určený ke spálení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0B0BCE7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73EE811E" w:rsidR="00A960A9" w:rsidRPr="000D37C2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součástí všech nádob 0,7 až </w:t>
            </w:r>
            <w:proofErr w:type="gramStart"/>
            <w:r w:rsidRPr="00A93A00">
              <w:rPr>
                <w:rFonts w:cs="Arial"/>
              </w:rPr>
              <w:t>60l</w:t>
            </w:r>
            <w:proofErr w:type="gramEnd"/>
            <w:r w:rsidRPr="00A93A00">
              <w:rPr>
                <w:rFonts w:cs="Arial"/>
              </w:rPr>
              <w:t xml:space="preserve"> musí být značení dle §72 odst.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2 a přílohy č.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20</w:t>
            </w:r>
            <w:r>
              <w:rPr>
                <w:rFonts w:cs="Arial"/>
              </w:rPr>
              <w:t xml:space="preserve"> </w:t>
            </w:r>
            <w:proofErr w:type="spellStart"/>
            <w:r w:rsidRPr="00A93A00">
              <w:rPr>
                <w:rFonts w:cs="Arial"/>
              </w:rPr>
              <w:t>vyhl</w:t>
            </w:r>
            <w:proofErr w:type="spellEnd"/>
            <w:r w:rsidRPr="00A93A00">
              <w:rPr>
                <w:rFonts w:cs="Arial"/>
              </w:rPr>
              <w:t>.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č.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273/2021 Sb. o podrobnostech nakládání s odpady v platném znění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Katalogové číslo 18 01 01 "ostré předměty" a (nebo) katalogové číslo 18 01 03 "odpady, na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jejichž sběr a odstraňování jsou kladeny zvláštní požadavky s ohledem na prevenci infekce"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dle konkrétního požadavku zadavatele v souladu s Katalogem odpadů. Pokud jsou údaje na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označovacím štítku (nejsou na kontejneru natištěné), musí být štítek na kontejneru nalepený. Text musí být v českém jazyce.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91723C8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344A" w14:textId="011FBDA0" w:rsidR="00A960A9" w:rsidRPr="000D37C2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velkoobjemové nádoby(30,50,60L)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musí mít přidělený příslušný UN kód, který je vyražený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nebo vylisovaný na stěně nebo dně nádoby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(ne na nalepeném štítku)</w:t>
            </w:r>
            <w:r>
              <w:rPr>
                <w:rFonts w:cs="Arial"/>
              </w:rPr>
              <w:t xml:space="preserve">. </w:t>
            </w:r>
            <w:r w:rsidRPr="00A93A00">
              <w:rPr>
                <w:rFonts w:cs="Arial"/>
              </w:rPr>
              <w:t>Na stranách pevné úchopy pro bezpečnou manipulaci po naplnění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odpadem.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Těsnící víko pro zajištění hermetického uzavření nádoby musí mít pevné madlo</w:t>
            </w:r>
            <w:r>
              <w:t xml:space="preserve"> </w:t>
            </w:r>
            <w:r w:rsidRPr="00A93A00">
              <w:rPr>
                <w:rFonts w:cs="Arial"/>
              </w:rPr>
              <w:t>pro uchopení.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CA" w14:textId="2B404D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78FC" w14:textId="5CFB4BF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3A00" w:rsidRPr="000D37C2" w14:paraId="5E18C4B2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13CA" w14:textId="749D02B4" w:rsidR="00A93A00" w:rsidRPr="00A93A00" w:rsidRDefault="00A93A00" w:rsidP="00A93A00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splňovat podmínky vyhlášky 306/2012 Sb. v platném znění, kterou se upravují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podmínky předcházení vzniku a šíření infekčních onemocnění a hygienické požadavky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na provoz zdravotnických zařízení a ústavů soc. péče dle zákona 258/2000 Sb. v platném znění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F19F" w14:textId="6E5D22B2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0DF2" w14:textId="0608F317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3A00" w:rsidRPr="000D37C2" w14:paraId="5BFD8FC5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8957" w14:textId="18B1A829" w:rsidR="00A93A00" w:rsidRPr="00A93A00" w:rsidRDefault="00A93A00" w:rsidP="00A93A00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splňovat normu ČSN EN ISO 23907-1 (85 4002) z roku 2019</w:t>
            </w:r>
            <w:r>
              <w:rPr>
                <w:rFonts w:cs="Arial"/>
              </w:rPr>
              <w:t xml:space="preserve">. </w:t>
            </w:r>
            <w:r w:rsidRPr="00A93A00">
              <w:rPr>
                <w:rFonts w:cs="Arial"/>
              </w:rPr>
              <w:t>Certifikát prokazující splnění této normy musí být v českém jazyce a vydaný autorizovanou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institucí.</w:t>
            </w:r>
            <w:r w:rsidR="001A6D71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Certifikát vydaný před datem uveřejnění nového znění normy ČSN EN ISO 23907-1, tedy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před 29.2.2020, který je stále platný a odkazuje se na normu ČSN EN ISO 23907 z roku 2013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se uznává.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853B" w14:textId="2062668A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EBDF" w14:textId="7A0483E9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3A00" w:rsidRPr="000D37C2" w14:paraId="6DE5DCE5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52C9" w14:textId="2417D0B3" w:rsidR="00A93A00" w:rsidRPr="00A93A00" w:rsidRDefault="00A93A00" w:rsidP="00A93A00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lastRenderedPageBreak/>
              <w:t>nádoby musí být certifikovány na přepravu nebezpečných látek dle zákona č.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111/1994 Sb.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o silniční dopravě</w:t>
            </w:r>
            <w:r w:rsidR="00757C99"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(dohoda ADR). Doklad prokazující splnění této normy musí být v</w:t>
            </w:r>
            <w:r>
              <w:rPr>
                <w:rFonts w:cs="Arial"/>
              </w:rPr>
              <w:t> </w:t>
            </w:r>
            <w:r w:rsidRPr="00A93A00">
              <w:rPr>
                <w:rFonts w:cs="Arial"/>
              </w:rPr>
              <w:t>českém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jazyce a vydaný autorizovanou institucí.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B2E6" w14:textId="1A45824D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F24" w14:textId="77A472CD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3A00" w:rsidRPr="000D37C2" w14:paraId="7895A5A1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58B9" w14:textId="6002F65A" w:rsidR="00A93A00" w:rsidRPr="00A93A00" w:rsidRDefault="00A93A00" w:rsidP="00A93A00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z papíru či lepenky jsou nepřípustné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7D1C" w14:textId="7AD51077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7517" w14:textId="5AE597F2" w:rsidR="00A93A00" w:rsidRPr="00102F2E" w:rsidRDefault="00A93A00" w:rsidP="00A93A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72BD8A80" w14:textId="77777777" w:rsidR="00304C50" w:rsidRDefault="00304C50" w:rsidP="00563AB1">
      <w:pPr>
        <w:pStyle w:val="Bezmezer"/>
      </w:pPr>
    </w:p>
    <w:sectPr w:rsidR="00304C50" w:rsidSect="00024ACA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4ACA"/>
    <w:rsid w:val="000D063F"/>
    <w:rsid w:val="00102EF3"/>
    <w:rsid w:val="00102F2E"/>
    <w:rsid w:val="00192E4D"/>
    <w:rsid w:val="001A6D71"/>
    <w:rsid w:val="00304C50"/>
    <w:rsid w:val="003579E7"/>
    <w:rsid w:val="00373ADF"/>
    <w:rsid w:val="003D326B"/>
    <w:rsid w:val="003E5E6D"/>
    <w:rsid w:val="004D40A7"/>
    <w:rsid w:val="00506065"/>
    <w:rsid w:val="00563AB1"/>
    <w:rsid w:val="005B226B"/>
    <w:rsid w:val="006A27D2"/>
    <w:rsid w:val="006C795D"/>
    <w:rsid w:val="006F4B8D"/>
    <w:rsid w:val="0071534D"/>
    <w:rsid w:val="00757C99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3A00"/>
    <w:rsid w:val="00A960A9"/>
    <w:rsid w:val="00AD2151"/>
    <w:rsid w:val="00B05486"/>
    <w:rsid w:val="00B337A7"/>
    <w:rsid w:val="00BB60A6"/>
    <w:rsid w:val="00D6743D"/>
    <w:rsid w:val="00DD0E12"/>
    <w:rsid w:val="00E51E36"/>
    <w:rsid w:val="00E94DE9"/>
    <w:rsid w:val="00EC2923"/>
    <w:rsid w:val="00ED0653"/>
    <w:rsid w:val="00EF6216"/>
    <w:rsid w:val="00F55FB3"/>
    <w:rsid w:val="00FA0EB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3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714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23</cp:revision>
  <dcterms:created xsi:type="dcterms:W3CDTF">2021-09-01T10:38:00Z</dcterms:created>
  <dcterms:modified xsi:type="dcterms:W3CDTF">2023-05-19T13:36:00Z</dcterms:modified>
</cp:coreProperties>
</file>